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ayout w:type="fixed"/>
        <w:tblLook w:val="04A0" w:firstRow="1" w:lastRow="0" w:firstColumn="1" w:lastColumn="0" w:noHBand="0" w:noVBand="1"/>
      </w:tblPr>
      <w:tblGrid>
        <w:gridCol w:w="2518"/>
        <w:gridCol w:w="6804"/>
      </w:tblGrid>
      <w:tr w:rsidR="00194681" w:rsidTr="00BA2B71">
        <w:trPr>
          <w:trHeight w:val="340"/>
        </w:trPr>
        <w:tc>
          <w:tcPr>
            <w:tcW w:w="2518" w:type="dxa"/>
            <w:shd w:val="clear" w:color="auto" w:fill="auto"/>
            <w:vAlign w:val="center"/>
          </w:tcPr>
          <w:p w:rsidR="003E4380" w:rsidRDefault="00194681" w:rsidP="00BA2B71">
            <w:pPr>
              <w:pStyle w:val="KeinLeerraum"/>
            </w:pPr>
            <w:r>
              <w:t>Einrichtung/Institution</w:t>
            </w:r>
          </w:p>
        </w:tc>
        <w:tc>
          <w:tcPr>
            <w:tcW w:w="6804" w:type="dxa"/>
            <w:shd w:val="clear" w:color="auto" w:fill="auto"/>
            <w:vAlign w:val="center"/>
          </w:tcPr>
          <w:p w:rsidR="003E4380" w:rsidRPr="004C4AB4" w:rsidRDefault="003E4380" w:rsidP="00BA2B71">
            <w:pPr>
              <w:pStyle w:val="KeinLeerraum"/>
            </w:pPr>
            <w:r w:rsidRPr="004C4AB4">
              <w:fldChar w:fldCharType="begin">
                <w:ffData>
                  <w:name w:val="Text3"/>
                  <w:enabled/>
                  <w:calcOnExit w:val="0"/>
                  <w:textInput/>
                </w:ffData>
              </w:fldChar>
            </w:r>
            <w:bookmarkStart w:id="0" w:name="Text3"/>
            <w:r w:rsidRPr="004C4AB4">
              <w:instrText xml:space="preserve"> FORMTEXT </w:instrText>
            </w:r>
            <w:r w:rsidRPr="004C4AB4">
              <w:fldChar w:fldCharType="separate"/>
            </w:r>
            <w:bookmarkStart w:id="1" w:name="_GoBack"/>
            <w:r w:rsidR="00D01815" w:rsidRPr="004C4AB4">
              <w:t> </w:t>
            </w:r>
            <w:r w:rsidR="00D01815" w:rsidRPr="004C4AB4">
              <w:t> </w:t>
            </w:r>
            <w:r w:rsidR="00D01815" w:rsidRPr="004C4AB4">
              <w:t> </w:t>
            </w:r>
            <w:r w:rsidR="00D01815" w:rsidRPr="004C4AB4">
              <w:t> </w:t>
            </w:r>
            <w:r w:rsidR="00D01815" w:rsidRPr="004C4AB4">
              <w:t> </w:t>
            </w:r>
            <w:bookmarkEnd w:id="1"/>
            <w:r w:rsidRPr="004C4AB4">
              <w:fldChar w:fldCharType="end"/>
            </w:r>
            <w:bookmarkEnd w:id="0"/>
          </w:p>
        </w:tc>
      </w:tr>
      <w:tr w:rsidR="00194681" w:rsidTr="00BA2B71">
        <w:trPr>
          <w:trHeight w:val="340"/>
        </w:trPr>
        <w:tc>
          <w:tcPr>
            <w:tcW w:w="2518" w:type="dxa"/>
            <w:shd w:val="clear" w:color="auto" w:fill="auto"/>
            <w:vAlign w:val="center"/>
          </w:tcPr>
          <w:p w:rsidR="003E4380" w:rsidRDefault="00194681" w:rsidP="00BA2B71">
            <w:pPr>
              <w:pStyle w:val="KeinLeerraum"/>
            </w:pPr>
            <w:r>
              <w:t>Erklärung als</w:t>
            </w:r>
          </w:p>
        </w:tc>
        <w:tc>
          <w:tcPr>
            <w:tcW w:w="6804" w:type="dxa"/>
            <w:shd w:val="clear" w:color="auto" w:fill="auto"/>
            <w:vAlign w:val="center"/>
          </w:tcPr>
          <w:p w:rsidR="003E4380" w:rsidRDefault="00194681" w:rsidP="00BA2B71">
            <w:pPr>
              <w:pStyle w:val="KeinLeerraum"/>
            </w:pPr>
            <w:r>
              <w:fldChar w:fldCharType="begin">
                <w:ffData>
                  <w:name w:val="Dropdown2"/>
                  <w:enabled/>
                  <w:calcOnExit w:val="0"/>
                  <w:ddList>
                    <w:listEntry w:val="Bitte auswählen"/>
                    <w:listEntry w:val="Antragstellende(r)"/>
                    <w:listEntry w:val="Kooperatationspartner(in)"/>
                  </w:ddList>
                </w:ffData>
              </w:fldChar>
            </w:r>
            <w:bookmarkStart w:id="2" w:name="Dropdown2"/>
            <w:r>
              <w:instrText xml:space="preserve"> FORMDROPDOWN </w:instrText>
            </w:r>
            <w:r w:rsidR="00802403">
              <w:fldChar w:fldCharType="separate"/>
            </w:r>
            <w:r>
              <w:fldChar w:fldCharType="end"/>
            </w:r>
            <w:bookmarkEnd w:id="2"/>
          </w:p>
        </w:tc>
      </w:tr>
      <w:tr w:rsidR="00194681" w:rsidTr="00BA2B71">
        <w:trPr>
          <w:trHeight w:val="340"/>
        </w:trPr>
        <w:tc>
          <w:tcPr>
            <w:tcW w:w="2518" w:type="dxa"/>
            <w:shd w:val="clear" w:color="auto" w:fill="auto"/>
            <w:vAlign w:val="center"/>
          </w:tcPr>
          <w:p w:rsidR="00194681" w:rsidDel="00194681" w:rsidRDefault="00194681" w:rsidP="00BA2B71">
            <w:pPr>
              <w:pStyle w:val="KeinLeerraum"/>
            </w:pPr>
            <w:r>
              <w:t>Projekt</w:t>
            </w:r>
          </w:p>
        </w:tc>
        <w:tc>
          <w:tcPr>
            <w:tcW w:w="6804" w:type="dxa"/>
            <w:shd w:val="clear" w:color="auto" w:fill="auto"/>
            <w:vAlign w:val="center"/>
          </w:tcPr>
          <w:p w:rsidR="00194681" w:rsidDel="00194681" w:rsidRDefault="00194681" w:rsidP="00BA2B71">
            <w:pPr>
              <w:pStyle w:val="KeinLeerraum"/>
            </w:pPr>
            <w:r>
              <w:fldChar w:fldCharType="begin">
                <w:ffData>
                  <w:name w:val="Text5"/>
                  <w:enabled/>
                  <w:calcOnExit w:val="0"/>
                  <w:textInput/>
                </w:ffData>
              </w:fldChar>
            </w:r>
            <w:bookmarkStart w:id="3" w:name="Text5"/>
            <w:r>
              <w:instrText xml:space="preserve"> FORMTEXT </w:instrText>
            </w:r>
            <w:r>
              <w:fldChar w:fldCharType="separate"/>
            </w:r>
            <w:r>
              <w:t> </w:t>
            </w:r>
            <w:r>
              <w:t> </w:t>
            </w:r>
            <w:r>
              <w:t> </w:t>
            </w:r>
            <w:r>
              <w:t> </w:t>
            </w:r>
            <w:r>
              <w:t> </w:t>
            </w:r>
            <w:r>
              <w:fldChar w:fldCharType="end"/>
            </w:r>
            <w:bookmarkEnd w:id="3"/>
          </w:p>
        </w:tc>
      </w:tr>
    </w:tbl>
    <w:p w:rsidR="00633E80" w:rsidRDefault="00633E80" w:rsidP="00775787">
      <w:pPr>
        <w:pStyle w:val="Titel"/>
      </w:pPr>
    </w:p>
    <w:p w:rsidR="00B669DC" w:rsidRDefault="00296FC3" w:rsidP="00775787">
      <w:pPr>
        <w:pStyle w:val="Titel"/>
      </w:pPr>
      <w:r w:rsidRPr="00775787">
        <w:t xml:space="preserve">Erklärungen </w:t>
      </w:r>
      <w:r w:rsidR="00D86436" w:rsidRPr="00775787">
        <w:t xml:space="preserve">zu </w:t>
      </w:r>
      <w:r w:rsidR="00B669DC">
        <w:t>§ 264 StGB</w:t>
      </w:r>
      <w:r w:rsidR="00B669DC">
        <w:br/>
        <w:t>Subventionserhebliche Tatsachen</w:t>
      </w:r>
    </w:p>
    <w:p w:rsidR="00296FC3" w:rsidRPr="00775787" w:rsidRDefault="00296FC3" w:rsidP="00775787">
      <w:pPr>
        <w:pStyle w:val="Titel"/>
      </w:pPr>
    </w:p>
    <w:p w:rsidR="00B669DC" w:rsidRDefault="00B669DC" w:rsidP="00B669DC">
      <w:pPr>
        <w:pStyle w:val="KeinLeerraum"/>
        <w:rPr>
          <w:lang w:eastAsia="de-DE"/>
        </w:rPr>
      </w:pPr>
      <w:r>
        <w:rPr>
          <w:lang w:eastAsia="de-DE"/>
        </w:rPr>
        <w:t>Ich erkläre hiermit, dass mir bekannt ist, dass</w:t>
      </w:r>
    </w:p>
    <w:p w:rsidR="00B669DC" w:rsidRDefault="00B669DC" w:rsidP="00B669DC">
      <w:pPr>
        <w:pStyle w:val="KeinLeerraum"/>
        <w:jc w:val="both"/>
        <w:rPr>
          <w:lang w:eastAsia="de-DE"/>
        </w:rPr>
      </w:pPr>
    </w:p>
    <w:p w:rsidR="00B669DC" w:rsidRDefault="00B669DC" w:rsidP="00B669DC">
      <w:pPr>
        <w:pStyle w:val="KeinLeerraum"/>
        <w:numPr>
          <w:ilvl w:val="0"/>
          <w:numId w:val="8"/>
        </w:numPr>
        <w:spacing w:after="120"/>
        <w:ind w:left="714" w:hanging="357"/>
        <w:jc w:val="both"/>
        <w:rPr>
          <w:lang w:eastAsia="de-DE"/>
        </w:rPr>
      </w:pPr>
      <w:r>
        <w:rPr>
          <w:lang w:eastAsia="de-DE"/>
        </w:rPr>
        <w:t>sämtliche in diesem Förderantrag gemachten Angaben sowie die in den beigefügten Anlagen/Vordrucke gemachten Angaben subventionserhebliche Tatsachen im Sinne des § 264 Abs. 8 StGB sind.</w:t>
      </w:r>
    </w:p>
    <w:p w:rsidR="00B669DC" w:rsidRDefault="00B669DC" w:rsidP="00B669DC">
      <w:pPr>
        <w:pStyle w:val="KeinLeerraum"/>
        <w:numPr>
          <w:ilvl w:val="0"/>
          <w:numId w:val="8"/>
        </w:numPr>
        <w:spacing w:after="120"/>
        <w:ind w:left="714" w:hanging="357"/>
        <w:jc w:val="both"/>
        <w:rPr>
          <w:lang w:eastAsia="de-DE"/>
        </w:rPr>
      </w:pPr>
      <w:r>
        <w:rPr>
          <w:lang w:eastAsia="de-DE"/>
        </w:rPr>
        <w:t>sämtliche während und nach dem Ende der Maßnahme gemachten Angaben (postalisch oder elektrisch) und eingereichten Unterlagen (postalisch oder elektronisch), insbesondere die Angaben in der Mittelanforderung/Mitteilung über den Projektstand, die Angaben in dem Begleitbogen und in der Mitteleinsatzbestätigung, die Angaben in dem Zwischennachweis und die Angaben in dem Verwendungsnachweis ebenfalls subventionserhebliche Tatsachen im Sinne des § 264 Abs. 8 StGB sind.</w:t>
      </w:r>
    </w:p>
    <w:p w:rsidR="00B669DC" w:rsidRDefault="00B669DC" w:rsidP="00B669DC">
      <w:pPr>
        <w:pStyle w:val="KeinLeerraum"/>
        <w:numPr>
          <w:ilvl w:val="0"/>
          <w:numId w:val="8"/>
        </w:numPr>
        <w:spacing w:after="120"/>
        <w:ind w:left="714" w:hanging="357"/>
        <w:jc w:val="both"/>
        <w:rPr>
          <w:lang w:eastAsia="de-DE"/>
        </w:rPr>
      </w:pPr>
      <w:r>
        <w:rPr>
          <w:lang w:eastAsia="de-DE"/>
        </w:rPr>
        <w:t>die Regelungen des Zuwendungsbescheids und die ihm beigefügten allgemeinen und besonderen Nebenbestimmungen als eine Verwendungsbeschränkung im Sinne des § 264 Abs.1 Nr. 2 StGB anzusehen sind.</w:t>
      </w:r>
    </w:p>
    <w:p w:rsidR="00B669DC" w:rsidRDefault="00B669DC" w:rsidP="00B669DC">
      <w:pPr>
        <w:pStyle w:val="KeinLeerraum"/>
        <w:numPr>
          <w:ilvl w:val="0"/>
          <w:numId w:val="8"/>
        </w:numPr>
        <w:spacing w:after="120"/>
        <w:ind w:left="714" w:hanging="357"/>
        <w:jc w:val="both"/>
        <w:rPr>
          <w:lang w:eastAsia="de-DE"/>
        </w:rPr>
      </w:pPr>
      <w:r>
        <w:rPr>
          <w:lang w:eastAsia="de-DE"/>
        </w:rPr>
        <w:t>ich mich gemäß § 264 Abs. 1 StGB strafbar mache, wenn ich</w:t>
      </w:r>
    </w:p>
    <w:p w:rsidR="00B669DC" w:rsidRDefault="00B669DC" w:rsidP="00B669DC">
      <w:pPr>
        <w:pStyle w:val="KeinLeerraum"/>
        <w:numPr>
          <w:ilvl w:val="0"/>
          <w:numId w:val="9"/>
        </w:numPr>
        <w:spacing w:after="120"/>
        <w:ind w:left="1077" w:hanging="357"/>
        <w:jc w:val="both"/>
        <w:rPr>
          <w:lang w:eastAsia="de-DE"/>
        </w:rPr>
      </w:pPr>
      <w:r>
        <w:rPr>
          <w:lang w:eastAsia="de-DE"/>
        </w:rPr>
        <w:t>einer für die Bewilligung einer Subvention zuständigen Behörde oder einer anderen in das Subventionsverfahren eingeschalteten Stelle oder Person (Subventionsgeber) über subventionserhebliche Tatsache für mich oder einen anderen unrichtige oder unvollständige Angaben mache, die für mich oder den anderen vorteilhaft sind.</w:t>
      </w:r>
    </w:p>
    <w:p w:rsidR="00B669DC" w:rsidRDefault="00B669DC" w:rsidP="00B669DC">
      <w:pPr>
        <w:pStyle w:val="KeinLeerraum"/>
        <w:numPr>
          <w:ilvl w:val="0"/>
          <w:numId w:val="9"/>
        </w:numPr>
        <w:spacing w:after="120"/>
        <w:ind w:left="1077" w:hanging="357"/>
        <w:jc w:val="both"/>
        <w:rPr>
          <w:lang w:eastAsia="de-DE"/>
        </w:rPr>
      </w:pPr>
      <w:r>
        <w:rPr>
          <w:lang w:eastAsia="de-DE"/>
        </w:rPr>
        <w:t>einen Gegenstand oder eine Geldleistung, deren Verwendung durch Rechtsvorschriften oder durch den Subventionsgeber im Hinblick auf eine Subvention beschränkt ist, entgegen der Verwendungsbeschränkung verwende.</w:t>
      </w:r>
    </w:p>
    <w:p w:rsidR="00B669DC" w:rsidRDefault="00B669DC" w:rsidP="00B669DC">
      <w:pPr>
        <w:pStyle w:val="KeinLeerraum"/>
        <w:numPr>
          <w:ilvl w:val="0"/>
          <w:numId w:val="9"/>
        </w:numPr>
        <w:spacing w:after="120"/>
        <w:ind w:left="1077" w:hanging="357"/>
        <w:jc w:val="both"/>
        <w:rPr>
          <w:lang w:eastAsia="de-DE"/>
        </w:rPr>
      </w:pPr>
      <w:r>
        <w:rPr>
          <w:lang w:eastAsia="de-DE"/>
        </w:rPr>
        <w:t xml:space="preserve">den Subventionsgeber entgegen den Rechtsvorschriften über die Subventionsvergabe über subventionserhebliche Tatsachen in Unkenntnis lasse oder </w:t>
      </w:r>
    </w:p>
    <w:p w:rsidR="00B669DC" w:rsidRDefault="00B669DC" w:rsidP="00B669DC">
      <w:pPr>
        <w:pStyle w:val="KeinLeerraum"/>
        <w:numPr>
          <w:ilvl w:val="0"/>
          <w:numId w:val="9"/>
        </w:numPr>
        <w:spacing w:after="120"/>
        <w:ind w:left="1077" w:hanging="357"/>
        <w:jc w:val="both"/>
        <w:rPr>
          <w:lang w:eastAsia="de-DE"/>
        </w:rPr>
      </w:pPr>
      <w:r>
        <w:rPr>
          <w:lang w:eastAsia="de-DE"/>
        </w:rPr>
        <w:t>in einem Subventionsverfahren eine durch unrichtige oder unvollständige Angaben erlangte Bescheinigung über eine Subventionsberechtigung oder übersubventionserhebliche Tatsachen gebrauche.</w:t>
      </w:r>
    </w:p>
    <w:p w:rsidR="00633E80" w:rsidRDefault="00B669DC" w:rsidP="00B669DC">
      <w:pPr>
        <w:pStyle w:val="KeinLeerraum"/>
        <w:numPr>
          <w:ilvl w:val="0"/>
          <w:numId w:val="10"/>
        </w:numPr>
        <w:jc w:val="both"/>
        <w:rPr>
          <w:lang w:eastAsia="de-DE"/>
        </w:rPr>
      </w:pPr>
      <w:r>
        <w:rPr>
          <w:lang w:eastAsia="de-DE"/>
        </w:rPr>
        <w:t>es für eine Strafbarkeit nach § 264 StGB nicht erforderlich ist, dass die Zuwendung für mich selbst beantragt wird oder das die beantragte Zuwendung tatsächlich gewährt wird.</w:t>
      </w:r>
    </w:p>
    <w:p w:rsidR="00E15FAF" w:rsidRDefault="00E15FAF" w:rsidP="00A70249">
      <w:pPr>
        <w:tabs>
          <w:tab w:val="left" w:pos="4500"/>
        </w:tabs>
        <w:rPr>
          <w:rFonts w:cs="Arial"/>
        </w:rPr>
      </w:pPr>
    </w:p>
    <w:p w:rsidR="001F60BE" w:rsidRDefault="001F60BE" w:rsidP="00A70249">
      <w:pPr>
        <w:tabs>
          <w:tab w:val="left" w:pos="4500"/>
        </w:tabs>
        <w:rPr>
          <w:rFonts w:cs="Arial"/>
        </w:rPr>
      </w:pPr>
    </w:p>
    <w:tbl>
      <w:tblPr>
        <w:tblW w:w="9039" w:type="dxa"/>
        <w:tblLook w:val="04A0" w:firstRow="1" w:lastRow="0" w:firstColumn="1" w:lastColumn="0" w:noHBand="0" w:noVBand="1"/>
      </w:tblPr>
      <w:tblGrid>
        <w:gridCol w:w="3652"/>
        <w:gridCol w:w="1134"/>
        <w:gridCol w:w="4253"/>
      </w:tblGrid>
      <w:tr w:rsidR="00A70249" w:rsidRPr="000C7CD9" w:rsidTr="002F4FAE">
        <w:tc>
          <w:tcPr>
            <w:tcW w:w="3652" w:type="dxa"/>
            <w:tcBorders>
              <w:bottom w:val="single" w:sz="4" w:space="0" w:color="auto"/>
            </w:tcBorders>
            <w:shd w:val="clear" w:color="auto" w:fill="auto"/>
          </w:tcPr>
          <w:p w:rsidR="00A70249" w:rsidRPr="000C7CD9" w:rsidRDefault="00A70249" w:rsidP="002F4FAE">
            <w:pPr>
              <w:tabs>
                <w:tab w:val="left" w:pos="4500"/>
              </w:tabs>
              <w:rPr>
                <w:rFonts w:cs="Arial"/>
              </w:rPr>
            </w:pPr>
          </w:p>
        </w:tc>
        <w:tc>
          <w:tcPr>
            <w:tcW w:w="1134" w:type="dxa"/>
            <w:shd w:val="clear" w:color="auto" w:fill="auto"/>
          </w:tcPr>
          <w:p w:rsidR="00A70249" w:rsidRPr="000C7CD9" w:rsidRDefault="00A70249" w:rsidP="002F4FAE">
            <w:pPr>
              <w:tabs>
                <w:tab w:val="left" w:pos="4500"/>
              </w:tabs>
              <w:rPr>
                <w:rFonts w:cs="Arial"/>
              </w:rPr>
            </w:pPr>
          </w:p>
        </w:tc>
        <w:tc>
          <w:tcPr>
            <w:tcW w:w="4253" w:type="dxa"/>
            <w:tcBorders>
              <w:bottom w:val="single" w:sz="4" w:space="0" w:color="auto"/>
            </w:tcBorders>
            <w:shd w:val="clear" w:color="auto" w:fill="auto"/>
          </w:tcPr>
          <w:p w:rsidR="00A70249" w:rsidRPr="000C7CD9" w:rsidRDefault="00A70249" w:rsidP="002F4FAE">
            <w:pPr>
              <w:tabs>
                <w:tab w:val="left" w:pos="4500"/>
              </w:tabs>
              <w:rPr>
                <w:rFonts w:cs="Arial"/>
              </w:rPr>
            </w:pPr>
          </w:p>
        </w:tc>
      </w:tr>
      <w:tr w:rsidR="00A70249" w:rsidRPr="000C7CD9" w:rsidTr="002F4FAE">
        <w:tc>
          <w:tcPr>
            <w:tcW w:w="3652" w:type="dxa"/>
            <w:tcBorders>
              <w:top w:val="single" w:sz="4" w:space="0" w:color="auto"/>
            </w:tcBorders>
            <w:shd w:val="clear" w:color="auto" w:fill="auto"/>
          </w:tcPr>
          <w:p w:rsidR="00A70249" w:rsidRPr="000C7CD9" w:rsidRDefault="00A70249" w:rsidP="002F4FAE">
            <w:pPr>
              <w:tabs>
                <w:tab w:val="left" w:pos="4500"/>
              </w:tabs>
              <w:rPr>
                <w:rFonts w:cs="Arial"/>
              </w:rPr>
            </w:pPr>
            <w:r w:rsidRPr="000C7CD9">
              <w:rPr>
                <w:rFonts w:cs="Arial"/>
              </w:rPr>
              <w:t>Ort, Datum</w:t>
            </w:r>
          </w:p>
        </w:tc>
        <w:tc>
          <w:tcPr>
            <w:tcW w:w="1134" w:type="dxa"/>
            <w:shd w:val="clear" w:color="auto" w:fill="auto"/>
          </w:tcPr>
          <w:p w:rsidR="00A70249" w:rsidRPr="000C7CD9" w:rsidRDefault="00A70249" w:rsidP="002F4FAE">
            <w:pPr>
              <w:tabs>
                <w:tab w:val="left" w:pos="4500"/>
              </w:tabs>
              <w:rPr>
                <w:rFonts w:cs="Arial"/>
              </w:rPr>
            </w:pPr>
          </w:p>
        </w:tc>
        <w:tc>
          <w:tcPr>
            <w:tcW w:w="4253" w:type="dxa"/>
            <w:tcBorders>
              <w:top w:val="single" w:sz="4" w:space="0" w:color="auto"/>
            </w:tcBorders>
            <w:shd w:val="clear" w:color="auto" w:fill="auto"/>
          </w:tcPr>
          <w:p w:rsidR="00A70249" w:rsidRPr="000C7CD9" w:rsidRDefault="00A70249" w:rsidP="002F4FAE">
            <w:pPr>
              <w:tabs>
                <w:tab w:val="left" w:pos="4500"/>
              </w:tabs>
              <w:rPr>
                <w:rFonts w:cs="Arial"/>
              </w:rPr>
            </w:pPr>
            <w:r w:rsidRPr="000C7CD9">
              <w:rPr>
                <w:rFonts w:cs="Arial"/>
              </w:rPr>
              <w:t>rechtsverbindliche Unterschrift, Stempel</w:t>
            </w:r>
          </w:p>
        </w:tc>
      </w:tr>
    </w:tbl>
    <w:p w:rsidR="00403C71" w:rsidRPr="00111CA5" w:rsidRDefault="00403C71" w:rsidP="00E15FAF">
      <w:pPr>
        <w:pStyle w:val="Kopfzeile"/>
        <w:tabs>
          <w:tab w:val="clear" w:pos="4536"/>
          <w:tab w:val="clear" w:pos="9072"/>
          <w:tab w:val="left" w:pos="4500"/>
        </w:tabs>
        <w:rPr>
          <w:rFonts w:cs="Arial"/>
        </w:rPr>
      </w:pPr>
    </w:p>
    <w:sectPr w:rsidR="00403C71" w:rsidRPr="00111CA5" w:rsidSect="00775787">
      <w:headerReference w:type="default" r:id="rId8"/>
      <w:footerReference w:type="default" r:id="rId9"/>
      <w:pgSz w:w="11906" w:h="16838" w:code="9"/>
      <w:pgMar w:top="739" w:right="1418" w:bottom="993" w:left="1418" w:header="568"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8B6" w:rsidRDefault="001758B6" w:rsidP="00A559DC">
      <w:pPr>
        <w:spacing w:after="0"/>
      </w:pPr>
      <w:r>
        <w:separator/>
      </w:r>
    </w:p>
  </w:endnote>
  <w:endnote w:type="continuationSeparator" w:id="0">
    <w:p w:rsidR="001758B6" w:rsidRDefault="001758B6" w:rsidP="00A559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FAF" w:rsidRDefault="003B5DC7" w:rsidP="00D10685">
    <w:pPr>
      <w:pStyle w:val="Fuzeile"/>
      <w:rPr>
        <w:color w:val="808080"/>
        <w:sz w:val="18"/>
        <w:szCs w:val="18"/>
      </w:rPr>
    </w:pPr>
    <w:r>
      <w:rPr>
        <w:color w:val="808080"/>
        <w:sz w:val="18"/>
        <w:szCs w:val="18"/>
      </w:rPr>
      <w:fldChar w:fldCharType="begin"/>
    </w:r>
    <w:r>
      <w:rPr>
        <w:color w:val="808080"/>
        <w:sz w:val="18"/>
        <w:szCs w:val="18"/>
      </w:rPr>
      <w:instrText xml:space="preserve"> KEYWORDS   \* MERGEFORMAT </w:instrText>
    </w:r>
    <w:r>
      <w:rPr>
        <w:color w:val="808080"/>
        <w:sz w:val="18"/>
        <w:szCs w:val="18"/>
      </w:rPr>
      <w:fldChar w:fldCharType="separate"/>
    </w:r>
    <w:r w:rsidR="00802403">
      <w:rPr>
        <w:color w:val="808080"/>
        <w:sz w:val="18"/>
        <w:szCs w:val="18"/>
      </w:rPr>
      <w:t>EP_Erklaerungen_Subv_V1_2_190815</w:t>
    </w:r>
    <w:r>
      <w:rPr>
        <w:color w:val="808080"/>
        <w:sz w:val="18"/>
        <w:szCs w:val="18"/>
      </w:rPr>
      <w:fldChar w:fldCharType="end"/>
    </w:r>
    <w:r w:rsidR="00802403">
      <w:rPr>
        <w:color w:val="808080"/>
        <w:sz w:val="18"/>
        <w:szCs w:val="18"/>
      </w:rPr>
      <w:tab/>
    </w:r>
    <w:r w:rsidR="00802403">
      <w:rPr>
        <w:noProof/>
        <w:lang w:eastAsia="de-DE"/>
      </w:rPr>
      <w:drawing>
        <wp:inline distT="0" distB="0" distL="0" distR="0" wp14:anchorId="22CC5E83" wp14:editId="155294EB">
          <wp:extent cx="629290" cy="216000"/>
          <wp:effectExtent l="0" t="0" r="0" b="0"/>
          <wp:docPr id="2" name="Grafik 2" descr="Namensnennung/NichtKommerziell/KeineBearbeitung" title="Logo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mensnennung_NichtKommerziell_KeineBearbeit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290" cy="216000"/>
                  </a:xfrm>
                  <a:prstGeom prst="rect">
                    <a:avLst/>
                  </a:prstGeom>
                </pic:spPr>
              </pic:pic>
            </a:graphicData>
          </a:graphic>
        </wp:inline>
      </w:drawing>
    </w:r>
    <w:r w:rsidR="00802403">
      <w:rPr>
        <w:color w:val="808080"/>
        <w:sz w:val="18"/>
        <w:szCs w:val="18"/>
      </w:rPr>
      <w:tab/>
    </w:r>
    <w:r w:rsidR="00E15FAF">
      <w:rPr>
        <w:color w:val="808080"/>
        <w:sz w:val="18"/>
        <w:szCs w:val="18"/>
      </w:rPr>
      <w:t xml:space="preserve">Seite </w:t>
    </w:r>
    <w:r w:rsidR="00E15FAF">
      <w:rPr>
        <w:color w:val="808080"/>
        <w:sz w:val="18"/>
        <w:szCs w:val="18"/>
      </w:rPr>
      <w:fldChar w:fldCharType="begin"/>
    </w:r>
    <w:r w:rsidR="00E15FAF">
      <w:rPr>
        <w:color w:val="808080"/>
        <w:sz w:val="18"/>
        <w:szCs w:val="18"/>
      </w:rPr>
      <w:instrText xml:space="preserve"> PAGE  \* Arabic  \* MERGEFORMAT </w:instrText>
    </w:r>
    <w:r w:rsidR="00E15FAF">
      <w:rPr>
        <w:color w:val="808080"/>
        <w:sz w:val="18"/>
        <w:szCs w:val="18"/>
      </w:rPr>
      <w:fldChar w:fldCharType="separate"/>
    </w:r>
    <w:r w:rsidR="00802403">
      <w:rPr>
        <w:noProof/>
        <w:color w:val="808080"/>
        <w:sz w:val="18"/>
        <w:szCs w:val="18"/>
      </w:rPr>
      <w:t>1</w:t>
    </w:r>
    <w:r w:rsidR="00E15FAF">
      <w:rPr>
        <w:color w:val="808080"/>
        <w:sz w:val="18"/>
        <w:szCs w:val="18"/>
      </w:rPr>
      <w:fldChar w:fldCharType="end"/>
    </w:r>
    <w:r w:rsidR="00802403">
      <w:rPr>
        <w:color w:val="808080"/>
        <w:sz w:val="18"/>
        <w:szCs w:val="18"/>
      </w:rPr>
      <w:t xml:space="preserve"> / 1</w:t>
    </w:r>
  </w:p>
  <w:p w:rsidR="009E3EB9" w:rsidRPr="001B01A4" w:rsidRDefault="00E15FAF" w:rsidP="00D10685">
    <w:pPr>
      <w:pStyle w:val="Fuzeile"/>
      <w:rPr>
        <w:color w:val="808080"/>
        <w:sz w:val="18"/>
        <w:szCs w:val="18"/>
      </w:rPr>
    </w:pPr>
    <w:r>
      <w:rPr>
        <w:color w:val="80808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8B6" w:rsidRDefault="001758B6" w:rsidP="00A559DC">
      <w:pPr>
        <w:spacing w:after="0"/>
      </w:pPr>
      <w:r>
        <w:separator/>
      </w:r>
    </w:p>
  </w:footnote>
  <w:footnote w:type="continuationSeparator" w:id="0">
    <w:p w:rsidR="001758B6" w:rsidRDefault="001758B6" w:rsidP="00A559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EB9" w:rsidRDefault="00802403" w:rsidP="0078639E">
    <w:pPr>
      <w:pStyle w:val="Kopfzeile"/>
    </w:pPr>
    <w:r>
      <w:rPr>
        <w:noProof/>
        <w:lang w:eastAsia="de-DE"/>
      </w:rPr>
      <w:drawing>
        <wp:anchor distT="0" distB="0" distL="114300" distR="114300" simplePos="0" relativeHeight="251659264" behindDoc="1" locked="0" layoutInCell="1" allowOverlap="1" wp14:anchorId="1AABB9B2" wp14:editId="48FFA480">
          <wp:simplePos x="0" y="0"/>
          <wp:positionH relativeFrom="column">
            <wp:posOffset>2847975</wp:posOffset>
          </wp:positionH>
          <wp:positionV relativeFrom="page">
            <wp:posOffset>360045</wp:posOffset>
          </wp:positionV>
          <wp:extent cx="2983230" cy="467995"/>
          <wp:effectExtent l="0" t="0" r="7620" b="8255"/>
          <wp:wrapNone/>
          <wp:docPr id="3" name="Grafik 3" descr="Logo der Senatorin für Wirtschaft, Arbeit und Europa der Freien Hansestadt Bremen" title="Logo SWAE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B_Senatorin_für Wirtschaf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3230" cy="467995"/>
                  </a:xfrm>
                  <a:prstGeom prst="rect">
                    <a:avLst/>
                  </a:prstGeom>
                </pic:spPr>
              </pic:pic>
            </a:graphicData>
          </a:graphic>
        </wp:anchor>
      </w:drawing>
    </w:r>
    <w:r w:rsidRPr="00C9561D">
      <w:rPr>
        <w:noProof/>
        <w:color w:val="808080" w:themeColor="background1" w:themeShade="80"/>
        <w:sz w:val="18"/>
        <w:szCs w:val="18"/>
        <w:lang w:eastAsia="de-DE"/>
      </w:rPr>
      <w:drawing>
        <wp:inline distT="0" distB="0" distL="0" distR="0" wp14:anchorId="1E555F77" wp14:editId="4C3C0FFA">
          <wp:extent cx="2152650" cy="488278"/>
          <wp:effectExtent l="0" t="0" r="0" b="7620"/>
          <wp:docPr id="1" name="Grafik 1" descr="Logo des Europäischen Sozialfonds (ESF) in der Freien Hansestadt Bremen" title="Logo ESF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_h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5883" cy="489011"/>
                  </a:xfrm>
                  <a:prstGeom prst="rect">
                    <a:avLst/>
                  </a:prstGeom>
                </pic:spPr>
              </pic:pic>
            </a:graphicData>
          </a:graphic>
        </wp:inline>
      </w:drawing>
    </w:r>
  </w:p>
  <w:p w:rsidR="00802403" w:rsidRDefault="00802403" w:rsidP="0078639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E83"/>
    <w:multiLevelType w:val="hybridMultilevel"/>
    <w:tmpl w:val="D256E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9171A4"/>
    <w:multiLevelType w:val="hybridMultilevel"/>
    <w:tmpl w:val="D7E85D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BD58E8"/>
    <w:multiLevelType w:val="hybridMultilevel"/>
    <w:tmpl w:val="2BB2D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945F1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F3307D"/>
    <w:multiLevelType w:val="hybridMultilevel"/>
    <w:tmpl w:val="4392C012"/>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686469E"/>
    <w:multiLevelType w:val="hybridMultilevel"/>
    <w:tmpl w:val="B6A20174"/>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6CC0C84"/>
    <w:multiLevelType w:val="hybridMultilevel"/>
    <w:tmpl w:val="F34A1F7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61A37A7B"/>
    <w:multiLevelType w:val="hybridMultilevel"/>
    <w:tmpl w:val="2132D7A4"/>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D244916"/>
    <w:multiLevelType w:val="hybridMultilevel"/>
    <w:tmpl w:val="0186AD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CA5661"/>
    <w:multiLevelType w:val="hybridMultilevel"/>
    <w:tmpl w:val="358E0ED6"/>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7"/>
  </w:num>
  <w:num w:numId="3">
    <w:abstractNumId w:val="5"/>
  </w:num>
  <w:num w:numId="4">
    <w:abstractNumId w:val="9"/>
  </w:num>
  <w:num w:numId="5">
    <w:abstractNumId w:val="2"/>
  </w:num>
  <w:num w:numId="6">
    <w:abstractNumId w:val="8"/>
  </w:num>
  <w:num w:numId="7">
    <w:abstractNumId w:val="3"/>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lMFCM57bXY5oh594pA2EbDMGzmwsrnoq3IPa8bMfYLcCO7QWJmhVgfGhyiOCJ0eO5KX/w27KPu6VETF8KvryXg==" w:salt="VQGrMwY9iFpUvCLzAWYJYw=="/>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114"/>
    <w:rsid w:val="00007B62"/>
    <w:rsid w:val="00010EDA"/>
    <w:rsid w:val="00041509"/>
    <w:rsid w:val="000433C5"/>
    <w:rsid w:val="00047018"/>
    <w:rsid w:val="00061064"/>
    <w:rsid w:val="000635DD"/>
    <w:rsid w:val="0007699A"/>
    <w:rsid w:val="000A066C"/>
    <w:rsid w:val="000A7588"/>
    <w:rsid w:val="000B3CB9"/>
    <w:rsid w:val="000B45A3"/>
    <w:rsid w:val="000E57F0"/>
    <w:rsid w:val="000F197E"/>
    <w:rsid w:val="000F68DC"/>
    <w:rsid w:val="000F7552"/>
    <w:rsid w:val="000F7BB4"/>
    <w:rsid w:val="0010173B"/>
    <w:rsid w:val="00101C6A"/>
    <w:rsid w:val="0012036E"/>
    <w:rsid w:val="00140F58"/>
    <w:rsid w:val="001453BA"/>
    <w:rsid w:val="00164A1E"/>
    <w:rsid w:val="00166627"/>
    <w:rsid w:val="0016679C"/>
    <w:rsid w:val="001758B6"/>
    <w:rsid w:val="001877A4"/>
    <w:rsid w:val="00194681"/>
    <w:rsid w:val="001A138F"/>
    <w:rsid w:val="001B01A4"/>
    <w:rsid w:val="001B3CCD"/>
    <w:rsid w:val="001B4932"/>
    <w:rsid w:val="001C7FA5"/>
    <w:rsid w:val="001D2A5C"/>
    <w:rsid w:val="001D7629"/>
    <w:rsid w:val="001E1A9B"/>
    <w:rsid w:val="001F1DB3"/>
    <w:rsid w:val="001F60BE"/>
    <w:rsid w:val="0020014D"/>
    <w:rsid w:val="00211682"/>
    <w:rsid w:val="00212114"/>
    <w:rsid w:val="00212BE7"/>
    <w:rsid w:val="00214257"/>
    <w:rsid w:val="002222E0"/>
    <w:rsid w:val="00255AE8"/>
    <w:rsid w:val="00261A7B"/>
    <w:rsid w:val="0027012E"/>
    <w:rsid w:val="00296FC3"/>
    <w:rsid w:val="002A69B4"/>
    <w:rsid w:val="002B69AA"/>
    <w:rsid w:val="002E1C49"/>
    <w:rsid w:val="002F4FAE"/>
    <w:rsid w:val="003036D5"/>
    <w:rsid w:val="003045AF"/>
    <w:rsid w:val="0031444E"/>
    <w:rsid w:val="00317229"/>
    <w:rsid w:val="003204C8"/>
    <w:rsid w:val="00322BA3"/>
    <w:rsid w:val="0034763C"/>
    <w:rsid w:val="00353B0C"/>
    <w:rsid w:val="00362461"/>
    <w:rsid w:val="00365DA4"/>
    <w:rsid w:val="0036693C"/>
    <w:rsid w:val="003A486B"/>
    <w:rsid w:val="003B07F6"/>
    <w:rsid w:val="003B5DC7"/>
    <w:rsid w:val="003E06FD"/>
    <w:rsid w:val="003E4380"/>
    <w:rsid w:val="003F0782"/>
    <w:rsid w:val="003F6A0A"/>
    <w:rsid w:val="0040330A"/>
    <w:rsid w:val="00403C71"/>
    <w:rsid w:val="00416EB7"/>
    <w:rsid w:val="00420625"/>
    <w:rsid w:val="00454B06"/>
    <w:rsid w:val="004575C6"/>
    <w:rsid w:val="00482A87"/>
    <w:rsid w:val="00483A80"/>
    <w:rsid w:val="00486B6A"/>
    <w:rsid w:val="004A5304"/>
    <w:rsid w:val="004C0A65"/>
    <w:rsid w:val="004C4AB4"/>
    <w:rsid w:val="004F1F0F"/>
    <w:rsid w:val="00511B5D"/>
    <w:rsid w:val="00516775"/>
    <w:rsid w:val="00526E82"/>
    <w:rsid w:val="00540A30"/>
    <w:rsid w:val="0055666C"/>
    <w:rsid w:val="00560119"/>
    <w:rsid w:val="00560E1F"/>
    <w:rsid w:val="00570FC1"/>
    <w:rsid w:val="0058641C"/>
    <w:rsid w:val="00596C17"/>
    <w:rsid w:val="005A42E7"/>
    <w:rsid w:val="005B1ABE"/>
    <w:rsid w:val="005C1921"/>
    <w:rsid w:val="005D006B"/>
    <w:rsid w:val="005D157E"/>
    <w:rsid w:val="005D404F"/>
    <w:rsid w:val="005F70DF"/>
    <w:rsid w:val="00633E80"/>
    <w:rsid w:val="006371A9"/>
    <w:rsid w:val="00651234"/>
    <w:rsid w:val="00652A62"/>
    <w:rsid w:val="00672F37"/>
    <w:rsid w:val="00680044"/>
    <w:rsid w:val="00681DC7"/>
    <w:rsid w:val="00693D51"/>
    <w:rsid w:val="006B269E"/>
    <w:rsid w:val="006D2ED6"/>
    <w:rsid w:val="006E1555"/>
    <w:rsid w:val="006E7317"/>
    <w:rsid w:val="006E73DE"/>
    <w:rsid w:val="007063FC"/>
    <w:rsid w:val="00766BD6"/>
    <w:rsid w:val="00775787"/>
    <w:rsid w:val="0078639E"/>
    <w:rsid w:val="00793F74"/>
    <w:rsid w:val="007A5E51"/>
    <w:rsid w:val="007B026D"/>
    <w:rsid w:val="007B5566"/>
    <w:rsid w:val="007F0EC5"/>
    <w:rsid w:val="00802403"/>
    <w:rsid w:val="0081694D"/>
    <w:rsid w:val="00825943"/>
    <w:rsid w:val="008451BF"/>
    <w:rsid w:val="00845B94"/>
    <w:rsid w:val="00853735"/>
    <w:rsid w:val="008542D0"/>
    <w:rsid w:val="00860A9C"/>
    <w:rsid w:val="008619DE"/>
    <w:rsid w:val="00887CA6"/>
    <w:rsid w:val="008936BD"/>
    <w:rsid w:val="008A420E"/>
    <w:rsid w:val="008A5EE6"/>
    <w:rsid w:val="008B2A8C"/>
    <w:rsid w:val="008C02A6"/>
    <w:rsid w:val="008D28B6"/>
    <w:rsid w:val="008D564D"/>
    <w:rsid w:val="008F2843"/>
    <w:rsid w:val="00904D73"/>
    <w:rsid w:val="00906CEE"/>
    <w:rsid w:val="009165FD"/>
    <w:rsid w:val="00955397"/>
    <w:rsid w:val="009753DF"/>
    <w:rsid w:val="00980D67"/>
    <w:rsid w:val="00983BFD"/>
    <w:rsid w:val="009922EC"/>
    <w:rsid w:val="009C74D6"/>
    <w:rsid w:val="009E3EB9"/>
    <w:rsid w:val="009F7E55"/>
    <w:rsid w:val="00A1757A"/>
    <w:rsid w:val="00A17E9F"/>
    <w:rsid w:val="00A559DC"/>
    <w:rsid w:val="00A70249"/>
    <w:rsid w:val="00A77B4A"/>
    <w:rsid w:val="00A87485"/>
    <w:rsid w:val="00AA13BC"/>
    <w:rsid w:val="00AA6CF2"/>
    <w:rsid w:val="00AD7276"/>
    <w:rsid w:val="00B03A11"/>
    <w:rsid w:val="00B10EB2"/>
    <w:rsid w:val="00B312DF"/>
    <w:rsid w:val="00B54F59"/>
    <w:rsid w:val="00B669DC"/>
    <w:rsid w:val="00BA2B71"/>
    <w:rsid w:val="00BE3A7F"/>
    <w:rsid w:val="00C0036B"/>
    <w:rsid w:val="00C02255"/>
    <w:rsid w:val="00C14DDB"/>
    <w:rsid w:val="00C333E4"/>
    <w:rsid w:val="00C33E40"/>
    <w:rsid w:val="00C50729"/>
    <w:rsid w:val="00C56646"/>
    <w:rsid w:val="00C773EC"/>
    <w:rsid w:val="00C86015"/>
    <w:rsid w:val="00CA2F0B"/>
    <w:rsid w:val="00CB2047"/>
    <w:rsid w:val="00CB4EA5"/>
    <w:rsid w:val="00CB55F3"/>
    <w:rsid w:val="00CB6A51"/>
    <w:rsid w:val="00CC4E5A"/>
    <w:rsid w:val="00CC70FE"/>
    <w:rsid w:val="00CC7DF0"/>
    <w:rsid w:val="00CE0F05"/>
    <w:rsid w:val="00D00853"/>
    <w:rsid w:val="00D01815"/>
    <w:rsid w:val="00D02FD4"/>
    <w:rsid w:val="00D041E6"/>
    <w:rsid w:val="00D10685"/>
    <w:rsid w:val="00D130ED"/>
    <w:rsid w:val="00D21E43"/>
    <w:rsid w:val="00D30105"/>
    <w:rsid w:val="00D822C1"/>
    <w:rsid w:val="00D86436"/>
    <w:rsid w:val="00D95F3C"/>
    <w:rsid w:val="00DB47C4"/>
    <w:rsid w:val="00DC0CAC"/>
    <w:rsid w:val="00DF4000"/>
    <w:rsid w:val="00E15FAF"/>
    <w:rsid w:val="00E30A51"/>
    <w:rsid w:val="00E41F6F"/>
    <w:rsid w:val="00E51C82"/>
    <w:rsid w:val="00E7428C"/>
    <w:rsid w:val="00EA536E"/>
    <w:rsid w:val="00EA7567"/>
    <w:rsid w:val="00EA7CF7"/>
    <w:rsid w:val="00EC1719"/>
    <w:rsid w:val="00ED3BBF"/>
    <w:rsid w:val="00EF50F6"/>
    <w:rsid w:val="00F02D02"/>
    <w:rsid w:val="00F0599D"/>
    <w:rsid w:val="00F14DE2"/>
    <w:rsid w:val="00F50070"/>
    <w:rsid w:val="00F56EBE"/>
    <w:rsid w:val="00F70FA1"/>
    <w:rsid w:val="00F8146F"/>
    <w:rsid w:val="00FC1944"/>
    <w:rsid w:val="00FD49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4B03BB"/>
  <w15:docId w15:val="{F71FD154-C560-47D2-B6C0-66B44403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01A4"/>
    <w:pPr>
      <w:suppressAutoHyphens/>
      <w:spacing w:after="120"/>
    </w:pPr>
    <w:rPr>
      <w:sz w:val="22"/>
      <w:szCs w:val="22"/>
      <w:lang w:eastAsia="en-US"/>
    </w:rPr>
  </w:style>
  <w:style w:type="paragraph" w:styleId="berschrift1">
    <w:name w:val="heading 1"/>
    <w:basedOn w:val="Standard"/>
    <w:next w:val="Standard"/>
    <w:link w:val="berschrift1Zchn"/>
    <w:uiPriority w:val="9"/>
    <w:qFormat/>
    <w:rsid w:val="00BA2B71"/>
    <w:pP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59DC"/>
    <w:pPr>
      <w:tabs>
        <w:tab w:val="center" w:pos="4536"/>
        <w:tab w:val="right" w:pos="9072"/>
      </w:tabs>
    </w:pPr>
  </w:style>
  <w:style w:type="character" w:customStyle="1" w:styleId="KopfzeileZchn">
    <w:name w:val="Kopfzeile Zchn"/>
    <w:link w:val="Kopfzeile"/>
    <w:uiPriority w:val="99"/>
    <w:rsid w:val="00A559DC"/>
    <w:rPr>
      <w:sz w:val="22"/>
      <w:szCs w:val="22"/>
      <w:lang w:eastAsia="en-US"/>
    </w:rPr>
  </w:style>
  <w:style w:type="paragraph" w:styleId="Fuzeile">
    <w:name w:val="footer"/>
    <w:basedOn w:val="Standard"/>
    <w:link w:val="FuzeileZchn"/>
    <w:uiPriority w:val="99"/>
    <w:unhideWhenUsed/>
    <w:rsid w:val="00A559DC"/>
    <w:pPr>
      <w:tabs>
        <w:tab w:val="center" w:pos="4536"/>
        <w:tab w:val="right" w:pos="9072"/>
      </w:tabs>
    </w:pPr>
  </w:style>
  <w:style w:type="character" w:customStyle="1" w:styleId="FuzeileZchn">
    <w:name w:val="Fußzeile Zchn"/>
    <w:link w:val="Fuzeile"/>
    <w:uiPriority w:val="99"/>
    <w:rsid w:val="00A559DC"/>
    <w:rPr>
      <w:sz w:val="22"/>
      <w:szCs w:val="22"/>
      <w:lang w:eastAsia="en-US"/>
    </w:rPr>
  </w:style>
  <w:style w:type="table" w:styleId="Tabellenraster">
    <w:name w:val="Table Grid"/>
    <w:basedOn w:val="NormaleTabelle"/>
    <w:uiPriority w:val="59"/>
    <w:rsid w:val="00A55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E4380"/>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3E4380"/>
    <w:rPr>
      <w:rFonts w:ascii="Tahoma" w:hAnsi="Tahoma" w:cs="Tahoma"/>
      <w:sz w:val="16"/>
      <w:szCs w:val="16"/>
      <w:lang w:eastAsia="en-US"/>
    </w:rPr>
  </w:style>
  <w:style w:type="character" w:styleId="Hyperlink">
    <w:name w:val="Hyperlink"/>
    <w:basedOn w:val="Absatz-Standardschriftart"/>
    <w:uiPriority w:val="99"/>
    <w:semiHidden/>
    <w:unhideWhenUsed/>
    <w:rsid w:val="00403C71"/>
    <w:rPr>
      <w:color w:val="0000FF" w:themeColor="hyperlink"/>
      <w:u w:val="single"/>
    </w:rPr>
  </w:style>
  <w:style w:type="paragraph" w:customStyle="1" w:styleId="Default">
    <w:name w:val="Default"/>
    <w:rsid w:val="00F50070"/>
    <w:pPr>
      <w:autoSpaceDE w:val="0"/>
      <w:autoSpaceDN w:val="0"/>
      <w:adjustRightInd w:val="0"/>
    </w:pPr>
    <w:rPr>
      <w:rFonts w:cs="Arial"/>
      <w:color w:val="000000"/>
      <w:sz w:val="24"/>
      <w:szCs w:val="24"/>
    </w:rPr>
  </w:style>
  <w:style w:type="character" w:customStyle="1" w:styleId="berschrift1Zchn">
    <w:name w:val="Überschrift 1 Zchn"/>
    <w:basedOn w:val="Absatz-Standardschriftart"/>
    <w:link w:val="berschrift1"/>
    <w:uiPriority w:val="9"/>
    <w:rsid w:val="00BA2B71"/>
    <w:rPr>
      <w:b/>
      <w:sz w:val="22"/>
      <w:szCs w:val="22"/>
      <w:lang w:eastAsia="en-US"/>
    </w:rPr>
  </w:style>
  <w:style w:type="paragraph" w:styleId="Listenabsatz">
    <w:name w:val="List Paragraph"/>
    <w:basedOn w:val="Standard"/>
    <w:uiPriority w:val="34"/>
    <w:qFormat/>
    <w:rsid w:val="004575C6"/>
    <w:pPr>
      <w:spacing w:after="0"/>
      <w:ind w:left="720"/>
      <w:contextualSpacing/>
    </w:pPr>
    <w:rPr>
      <w:rFonts w:eastAsiaTheme="minorEastAsia" w:cstheme="minorBidi"/>
      <w:sz w:val="20"/>
      <w:szCs w:val="20"/>
      <w:lang w:eastAsia="zh-CN"/>
    </w:rPr>
  </w:style>
  <w:style w:type="paragraph" w:styleId="KeinLeerraum">
    <w:name w:val="No Spacing"/>
    <w:uiPriority w:val="1"/>
    <w:qFormat/>
    <w:rsid w:val="001B01A4"/>
    <w:pPr>
      <w:suppressAutoHyphens/>
    </w:pPr>
    <w:rPr>
      <w:sz w:val="22"/>
      <w:szCs w:val="22"/>
      <w:lang w:eastAsia="en-US"/>
    </w:rPr>
  </w:style>
  <w:style w:type="paragraph" w:styleId="Titel">
    <w:name w:val="Title"/>
    <w:basedOn w:val="Standard"/>
    <w:next w:val="Standard"/>
    <w:link w:val="TitelZchn"/>
    <w:uiPriority w:val="10"/>
    <w:qFormat/>
    <w:rsid w:val="00775787"/>
    <w:pPr>
      <w:spacing w:before="240" w:after="240"/>
      <w:contextualSpacing/>
      <w:jc w:val="center"/>
    </w:pPr>
    <w:rPr>
      <w:rFonts w:eastAsiaTheme="majorEastAsia" w:cstheme="majorBidi"/>
      <w:b/>
      <w:spacing w:val="5"/>
      <w:kern w:val="28"/>
      <w:sz w:val="24"/>
      <w:szCs w:val="52"/>
    </w:rPr>
  </w:style>
  <w:style w:type="character" w:customStyle="1" w:styleId="TitelZchn">
    <w:name w:val="Titel Zchn"/>
    <w:basedOn w:val="Absatz-Standardschriftart"/>
    <w:link w:val="Titel"/>
    <w:uiPriority w:val="10"/>
    <w:rsid w:val="00775787"/>
    <w:rPr>
      <w:rFonts w:eastAsiaTheme="majorEastAsia" w:cstheme="majorBidi"/>
      <w:b/>
      <w:spacing w:val="5"/>
      <w:kern w:val="28"/>
      <w:sz w:val="24"/>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99C3319-3E77-426F-9C18-B4A29802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Erklärungen zu § 264 StGB Subventionserhebliche Tatsachen</vt:lpstr>
    </vt:vector>
  </TitlesOfParts>
  <Company>Die Senatorin für Wirtschaft, Arbeit und Europa, Abteilung 2 Arbeit, ESF-zwischengeschaltete Stelle</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Erklärungen zu § 264 StGB Subventionserhebliche Tatsachen</dc:title>
  <dc:creator>Thorsten André</dc:creator>
  <cp:keywords>EP_Erklaerungen_Subv_V1_2_190815</cp:keywords>
  <cp:lastModifiedBy>Andre, Thorsten (Wirtschaft, Arbeit und Haefen)</cp:lastModifiedBy>
  <cp:revision>4</cp:revision>
  <cp:lastPrinted>2015-06-10T11:14:00Z</cp:lastPrinted>
  <dcterms:created xsi:type="dcterms:W3CDTF">2017-11-17T07:52:00Z</dcterms:created>
  <dcterms:modified xsi:type="dcterms:W3CDTF">2019-08-16T11:24:00Z</dcterms:modified>
</cp:coreProperties>
</file>